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9"/>
        <w:gridCol w:w="2649"/>
        <w:gridCol w:w="2649"/>
        <w:gridCol w:w="2402"/>
      </w:tblGrid>
      <w:tr w:rsidR="00775C04" w:rsidTr="00775C04"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Виды подакцизных товаров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Налоговая ставка (в процентах и (или) рублях за единицу измерения)</w:t>
            </w:r>
          </w:p>
        </w:tc>
      </w:tr>
      <w:tr w:rsidR="00775C04" w:rsidTr="00775C04"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с 1 января по 31 декабря 2018 года включительно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с 1 января по 31 декабря 2019 года включительно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с 1 января по 31 декабря 2020 года включительно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proofErr w:type="gramStart"/>
            <w:r>
              <w:t xml:space="preserve">Этиловый спирт, произведенный из пищевого или непищевого сырья, в том числе денатурированный этиловый спирт, спирт-сырец, дистилляты винный, виноградный, плодовый, коньячный, </w:t>
            </w:r>
            <w:proofErr w:type="spellStart"/>
            <w:r>
              <w:t>кальвадосный</w:t>
            </w:r>
            <w:proofErr w:type="spellEnd"/>
            <w:r>
              <w:t xml:space="preserve">, </w:t>
            </w:r>
            <w:proofErr w:type="spellStart"/>
            <w:r>
              <w:t>висковый</w:t>
            </w:r>
            <w:proofErr w:type="spellEnd"/>
            <w:r>
              <w:t>:</w:t>
            </w:r>
            <w:proofErr w:type="gram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</w:p>
        </w:tc>
      </w:tr>
      <w:tr w:rsidR="00775C04" w:rsidTr="00775C04">
        <w:tc>
          <w:tcPr>
            <w:tcW w:w="2649" w:type="dxa"/>
            <w:tcBorders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proofErr w:type="gramStart"/>
            <w:r>
              <w:t>реализуемый организациям, осуществляющим производство спиртосодержащей парфюмерно-косметической продукции в металлической аэрозольной упаковке и (или) спиртосодержащей продукции бытовой химии в металлической аэрозольной упаковке, и организациям, уплачивающим авансовый платеж акциза (в том числе этиловый спирт, ввозимый в Российскую Федерацию с территорий государств - членов Евразийского экономического союза, являющийся товаром Евразийского экономического союза), и (или) передаваемый при совершении операций, признаваемых объектом налогообложения акцизами в соответствии</w:t>
            </w:r>
            <w:proofErr w:type="gramEnd"/>
            <w:r>
              <w:t xml:space="preserve"> с </w:t>
            </w:r>
            <w:proofErr w:type="spellStart"/>
            <w:r>
              <w:t>пп</w:t>
            </w:r>
            <w:proofErr w:type="spellEnd"/>
            <w:r>
              <w:t xml:space="preserve">. 22 п. 1 ст. 182 НК РФ, и (или) </w:t>
            </w:r>
            <w:proofErr w:type="gramStart"/>
            <w:r>
              <w:t>реализуемый</w:t>
            </w:r>
            <w:proofErr w:type="gramEnd"/>
            <w:r>
              <w:t xml:space="preserve"> (или передаваемый производителями в структуре одной организации) для производства товаров, не признаваемых подакцизными в соответствии с </w:t>
            </w:r>
            <w:proofErr w:type="spellStart"/>
            <w:r>
              <w:t>пп</w:t>
            </w:r>
            <w:proofErr w:type="spellEnd"/>
            <w:r>
              <w:t>. 2 п. 1 ст. 181 НК РФ;</w:t>
            </w:r>
          </w:p>
        </w:tc>
        <w:tc>
          <w:tcPr>
            <w:tcW w:w="2649" w:type="dxa"/>
            <w:tcBorders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0 рублей за 1 литр безводного этилового спирта, содержащегося в подакцизном товаре</w:t>
            </w:r>
          </w:p>
        </w:tc>
        <w:tc>
          <w:tcPr>
            <w:tcW w:w="2649" w:type="dxa"/>
            <w:tcBorders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0 рублей за 1 литр безводного этилового спирта, содержащегося в подакцизном товаре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0 рублей за 1 литр безводного этилового спирта, содержащегося в подакцизном товаре</w:t>
            </w:r>
          </w:p>
        </w:tc>
      </w:tr>
      <w:tr w:rsidR="00775C04" w:rsidTr="00775C04">
        <w:tc>
          <w:tcPr>
            <w:tcW w:w="2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proofErr w:type="gramStart"/>
            <w:r>
              <w:t xml:space="preserve">реализуемый организациям, не уплачивающим авансовый </w:t>
            </w:r>
            <w:r>
              <w:lastRenderedPageBreak/>
              <w:t xml:space="preserve">платеж акциза (в том числе этиловый спирт, ввозимый в Российскую Федерацию, не являющийся товаром Евразийского экономического союза), и (или) передаваемый в структуре одной организации при совершении налогоплательщиком операций, признаваемых объектом налогообложения акцизами, за исключением операций, предусмотренных </w:t>
            </w:r>
            <w:proofErr w:type="spellStart"/>
            <w:r>
              <w:t>пп</w:t>
            </w:r>
            <w:proofErr w:type="spellEnd"/>
            <w:r>
              <w:t>. 22 п. 1 ст. 182 НК РФ, а также за исключением этилового спирта, реализуемого (или передаваемого производителями в</w:t>
            </w:r>
            <w:proofErr w:type="gramEnd"/>
            <w:r>
              <w:t xml:space="preserve"> структуре одной организации) для производства товаров, не признаваемых подакцизными в соответствии с </w:t>
            </w:r>
            <w:proofErr w:type="spellStart"/>
            <w:r>
              <w:t>пп</w:t>
            </w:r>
            <w:proofErr w:type="spellEnd"/>
            <w:r>
              <w:t>. 2 п. 1 ст. 181 НК РФ, и этилового спирта, реализуемого организациям, осуществляющим производство спиртосодержащей парфюмерно-косметической продукции в металлической аэрозольной упаковке и (или) спиртосодержащей продукции бытовой химии в металлической аэрозольной упаковке</w:t>
            </w:r>
          </w:p>
        </w:tc>
        <w:tc>
          <w:tcPr>
            <w:tcW w:w="2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lastRenderedPageBreak/>
              <w:t xml:space="preserve">107 рублей за 1 литр безводного этилового спирта, содержащегося в </w:t>
            </w:r>
            <w:r>
              <w:lastRenderedPageBreak/>
              <w:t>подакцизном товаре</w:t>
            </w:r>
          </w:p>
        </w:tc>
        <w:tc>
          <w:tcPr>
            <w:tcW w:w="2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lastRenderedPageBreak/>
              <w:t xml:space="preserve">107 рублей за 1 литр безводного этилового спирта, содержащегося в </w:t>
            </w:r>
            <w:r>
              <w:lastRenderedPageBreak/>
              <w:t>подакцизном товаре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lastRenderedPageBreak/>
              <w:t xml:space="preserve">111 рублей за 1 литр безводного этилового спирта, содержащегося </w:t>
            </w:r>
            <w:r>
              <w:lastRenderedPageBreak/>
              <w:t>в подакцизном товаре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lastRenderedPageBreak/>
              <w:t>Спиртосодержащая парфюмерно-косметическая продукция в металлической аэрозольной упаковке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0 рублей за 1 литр безводного этилового спирта, содержащегося в подакцизном товаре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0 рублей за 1 литр безводного этилового спирта, содержащегося в подакцизном товаре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0 рублей за 1 литр безводного этилового спирта, содержащегося в подакцизном товаре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Спиртосодержащая продукция бытовой химии в металлической аэрозольной упаковке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0 рублей за 1 литр безводного этилового спирта, содержащегося в подакцизном товаре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0 рублей за 1 литр безводного этилового спирта, содержащегося в подакцизном товаре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0 рублей за 1 литр безводного этилового спирта, содержащегося в подакцизном товаре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 xml:space="preserve">Спиртосодержащая продукция (за исключением спиртосодержащей парфюмерно-косметической продукции в металлической </w:t>
            </w:r>
            <w:r>
              <w:lastRenderedPageBreak/>
              <w:t>аэрозольной упаковке и спиртосодержащей продукции бытовой химии в металлической аэрозольной упаковке)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lastRenderedPageBreak/>
              <w:t>418 рублей за 1 литр безводного этилового спирта, содержащегося в подакцизном товаре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418 рублей за 1 литр безводного этилового спирта, содержащегося в подакцизном товаре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435 рублей за 1 литр безводного этилового спирта, содержащегося в подакцизном товаре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proofErr w:type="gramStart"/>
            <w:r>
              <w:lastRenderedPageBreak/>
              <w:t xml:space="preserve">Алкогольная продукция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</w:t>
            </w:r>
            <w:proofErr w:type="spellStart"/>
            <w:r>
              <w:t>ректификованного</w:t>
            </w:r>
            <w:proofErr w:type="spellEnd"/>
            <w:r>
      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      </w:r>
            <w:proofErr w:type="gram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523 рубля за 1 литр безводного этилового спирта, содержащегося в подакцизном товаре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523 рубля за 1 литр безводного этилового спирта, содержащегося в подакцизном товаре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544 рубля за 1 литр безводного этилового спирта, содержащегося в подакцизном товаре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proofErr w:type="gramStart"/>
            <w:r>
              <w:t xml:space="preserve">Алкогольная продукция с объемной долей этилового спирта до 9 процентов включительно (за исключением пива, напитков, изготавливаемых на основе пива, вин, фруктовых вин, игристых вин (шампанских), сидра, </w:t>
            </w:r>
            <w:proofErr w:type="spellStart"/>
            <w:r>
              <w:t>пуаре</w:t>
            </w:r>
            <w:proofErr w:type="spellEnd"/>
            <w:r>
              <w:t xml:space="preserve">, медовухи, винных напитков, изготавливаемых без добавления </w:t>
            </w:r>
            <w:proofErr w:type="spellStart"/>
            <w:r>
              <w:t>ректификованного</w:t>
            </w:r>
            <w:proofErr w:type="spellEnd"/>
            <w:r>
      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      </w:r>
            <w:proofErr w:type="gram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418 рублей за 1 литр безводного этилового спирта, содержащегося в подакцизном товаре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418 рублей за 1 литр безводного этилового спирта, содержащегося в подакцизном товаре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435 рублей за 1 литр безводного этилового спирта, содержащегося в подакцизном товаре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proofErr w:type="gramStart"/>
            <w:r>
              <w:t xml:space="preserve"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</w:t>
            </w:r>
            <w:r>
              <w:lastRenderedPageBreak/>
              <w:t xml:space="preserve">добавления </w:t>
            </w:r>
            <w:proofErr w:type="spellStart"/>
            <w:r>
              <w:t>ректификованного</w:t>
            </w:r>
            <w:proofErr w:type="spellEnd"/>
            <w:r>
      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      </w:r>
            <w:proofErr w:type="gram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lastRenderedPageBreak/>
              <w:t>18 рублей за 1 литр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18 рублей за 1 литр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19 рублей за 1 литр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lastRenderedPageBreak/>
              <w:t>Вина с защищенным географическим указанием, с защищенным наименованием места происхождения, за исключением игристых вин (шампанских)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5 рублей за 1 литр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5 рублей за 1 литр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5 рублей за 1 литр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 xml:space="preserve">Сидр, </w:t>
            </w:r>
            <w:proofErr w:type="spellStart"/>
            <w:r>
              <w:t>пуаре</w:t>
            </w:r>
            <w:proofErr w:type="spellEnd"/>
            <w:r>
              <w:t>, медовуха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21 рубль за 1 литр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21 рубль за 1 литр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22 рубля за 1 литр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36 рублей за 1 литр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36 рублей за 1 литр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37 рублей за 1 литр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Игристые вина (шампанские) с защищенным географическим указанием, с защищенным наименованием места происхождения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14 рублей за 1 литр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14 рублей за 1 литр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14 рублей за 1 литр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Пиво с нормативным (стандартизированным) содержанием объемной доли этилового спирта до 0,5 процента включительно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0 рублей за 1 литр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0 рублей за 1 литр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0 рублей за 1 литр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Пиво с нормативным (стандартизированным) содержанием объемной доли этилового спирта свыше 0,5 процента и до 8,6 процента включительно, напитки, изготавливаемые на основе пива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21 рубль за 1 литр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21 рубль за 1 литр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22 рубля за 1 литр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Пиво с нормативным (стандартизированным) содержанием объемной доли этилового спирта свыше 8,6 процента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39 рублей за 1 литр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39 рублей за 1 литр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41 рубль за 1 литр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lastRenderedPageBreak/>
              <w:t>Табак трубочный, курительный, жевательный, сосательный, нюхательный, кальянный (за исключением табака, используемого в качестве сырья для производства табачной продукции)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2 772 рубля за 1 кг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3 050 рублей за 1 кг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3 172 рубля за 1 кг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Сигары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188 рублей за 1 штуку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207 рублей за 1 штуку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215 рублей за 1 штуку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proofErr w:type="spellStart"/>
            <w:r>
              <w:t>Сигариллы</w:t>
            </w:r>
            <w:proofErr w:type="spellEnd"/>
            <w:r>
              <w:t xml:space="preserve"> (</w:t>
            </w:r>
            <w:proofErr w:type="spellStart"/>
            <w:r>
              <w:t>сигариты</w:t>
            </w:r>
            <w:proofErr w:type="spellEnd"/>
            <w:r>
              <w:t xml:space="preserve">), </w:t>
            </w:r>
            <w:proofErr w:type="spellStart"/>
            <w:r>
              <w:t>биди</w:t>
            </w:r>
            <w:proofErr w:type="spellEnd"/>
            <w:r>
              <w:t xml:space="preserve">, </w:t>
            </w:r>
            <w:proofErr w:type="spellStart"/>
            <w:r>
              <w:t>кретек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2 671 рубль за 1 000 штук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2 938 рублей за 1 000 штук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3 055 рублей за 1 000 штук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Сигареты, папиросы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1 718 рублей за 1 000 штук + 14,5 процента расчетной стоимости, исчисляемой исходя из максимальной розничной цены, но не менее 2 335 рублей за 1 000 штук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1 890 рублей за 1 000 штук + 14,5 процента расчетной стоимости, исчисляемой исходя из максимальной розничной цены, но не менее 2 568 рублей за 1 000 штук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1 966 рублей за 1 000 штук + 14,5 процента расчетной стоимости, исчисляемой исходя из максимальной розничной цены, но не менее 2 671 рубля за 1 000 штук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Табак (табачные изделия), предназначенный для потребления путем нагревания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5 280 рублей за 1 кг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5 808 рублей за 1 кг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6 040 рублей за 1 кг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Электронные системы доставки никотина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44 рубля за 1 штуку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48 рублей за 1 штуку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50 рублей за 1 штуку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Жидкости для электронных систем доставки никотина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11 рублей за 1 мл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12 рублей за 1 мл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13 рублей за 1 мл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</w:p>
        </w:tc>
      </w:tr>
      <w:tr w:rsidR="00775C04" w:rsidTr="00775C04">
        <w:tc>
          <w:tcPr>
            <w:tcW w:w="2649" w:type="dxa"/>
            <w:tcBorders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 xml:space="preserve">с мощностью двигателя до 67,5 кВт (90 л. </w:t>
            </w:r>
            <w:proofErr w:type="gramStart"/>
            <w:r>
              <w:t>с</w:t>
            </w:r>
            <w:proofErr w:type="gramEnd"/>
            <w:r>
              <w:t>.) включительно</w:t>
            </w:r>
          </w:p>
        </w:tc>
        <w:tc>
          <w:tcPr>
            <w:tcW w:w="2649" w:type="dxa"/>
            <w:tcBorders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 xml:space="preserve">0 рублей за 0,75 кВт (1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  <w:tc>
          <w:tcPr>
            <w:tcW w:w="2649" w:type="dxa"/>
            <w:tcBorders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 xml:space="preserve">0 рублей за 0,75 кВт (1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 xml:space="preserve">0 рублей за 0,75 кВт (1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</w:tr>
      <w:tr w:rsidR="00775C04" w:rsidTr="00775C04">
        <w:tc>
          <w:tcPr>
            <w:tcW w:w="2649" w:type="dxa"/>
            <w:tcBorders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 xml:space="preserve">с мощностью двигателя свыше 67,5 кВт (90 л. с.) и до 112,5 кВт (150 л. </w:t>
            </w:r>
            <w:proofErr w:type="gramStart"/>
            <w:r>
              <w:t>с</w:t>
            </w:r>
            <w:proofErr w:type="gramEnd"/>
            <w:r>
              <w:t>.) включительно</w:t>
            </w:r>
          </w:p>
        </w:tc>
        <w:tc>
          <w:tcPr>
            <w:tcW w:w="2649" w:type="dxa"/>
            <w:tcBorders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 xml:space="preserve">45 рублей за 0,75 кВт (1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  <w:tc>
          <w:tcPr>
            <w:tcW w:w="2649" w:type="dxa"/>
            <w:tcBorders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 xml:space="preserve">47 рублей за 0,75 кВт (1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 xml:space="preserve">49 рублей за 0,75 кВт (1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</w:tr>
      <w:tr w:rsidR="00775C04" w:rsidTr="00775C04">
        <w:tc>
          <w:tcPr>
            <w:tcW w:w="2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 xml:space="preserve">с мощностью двигателя свыше 112,5 кВт (150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  <w:tc>
          <w:tcPr>
            <w:tcW w:w="2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 xml:space="preserve">437 рублей за 0,75 кВт (1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  <w:tc>
          <w:tcPr>
            <w:tcW w:w="2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 xml:space="preserve">454 рубля за 0,75 кВт (1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 xml:space="preserve">472 рубля за 0,75 кВт (1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 xml:space="preserve">Мотоциклы с мощностью двигателя свыше 112,5 кВт (150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 xml:space="preserve">437 рублей за 0,75 кВт (1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 xml:space="preserve">454 рубля за 0,75 кВт (1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 xml:space="preserve">472 рубля за 0,75 кВт (1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Автомобильный бензин: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</w:p>
        </w:tc>
      </w:tr>
      <w:tr w:rsidR="00775C04" w:rsidTr="00775C04">
        <w:tc>
          <w:tcPr>
            <w:tcW w:w="2649" w:type="dxa"/>
            <w:tcBorders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 xml:space="preserve">не </w:t>
            </w:r>
            <w:proofErr w:type="gramStart"/>
            <w:r>
              <w:t>соответствующий</w:t>
            </w:r>
            <w:proofErr w:type="gramEnd"/>
            <w:r>
              <w:t xml:space="preserve"> классу 5</w:t>
            </w:r>
          </w:p>
        </w:tc>
        <w:tc>
          <w:tcPr>
            <w:tcW w:w="2649" w:type="dxa"/>
            <w:tcBorders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13 100 рублей за 1 тонну</w:t>
            </w:r>
          </w:p>
        </w:tc>
        <w:tc>
          <w:tcPr>
            <w:tcW w:w="2649" w:type="dxa"/>
            <w:tcBorders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13 100 рублей за 1 тонну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13 624 рубля за 1 тонну</w:t>
            </w:r>
          </w:p>
        </w:tc>
      </w:tr>
      <w:tr w:rsidR="00775C04" w:rsidTr="00775C04">
        <w:tc>
          <w:tcPr>
            <w:tcW w:w="2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класса 5</w:t>
            </w:r>
          </w:p>
        </w:tc>
        <w:tc>
          <w:tcPr>
            <w:tcW w:w="2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10 535 рублей за 1 тонну</w:t>
            </w:r>
          </w:p>
        </w:tc>
        <w:tc>
          <w:tcPr>
            <w:tcW w:w="2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10 957 рублей за 1 тонну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11 395 рублей за 1 тонну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Дизельное топливо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7 072 рубля за 1 тонну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7 355 рублей за 1 тонну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7 649 рублей за 1 тонну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lastRenderedPageBreak/>
              <w:t>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5 400 рублей за 1 тонну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5 400 рублей за 1 тонну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5 616 рублей за 1 тонну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Прямогонный бензин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13 100 рублей за 1 тонну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13 100 рублей за 1 тонну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13 100 рублей за 1 тонну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 xml:space="preserve">Бензол, параксилол, </w:t>
            </w:r>
            <w:proofErr w:type="spellStart"/>
            <w:r>
              <w:t>ортоксилол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2 800 рублей за 1 тонну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2 800 рублей за 1 тонну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2 800 рублей за 1 тонну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Авиационный керосин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2 800 рублей за 1 тонну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2 800 рублей за 1 тонну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2 800 рублей за 1 тонну</w:t>
            </w:r>
          </w:p>
        </w:tc>
      </w:tr>
      <w:tr w:rsidR="00775C04" w:rsidTr="00775C04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</w:pPr>
            <w:r>
              <w:t>Средние дистилляты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8 112 рублей за 1 тонну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8 436 рублей за 1 тонну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4" w:rsidRDefault="00775C04" w:rsidP="00914E14">
            <w:pPr>
              <w:pStyle w:val="ConsPlusNormal"/>
              <w:jc w:val="center"/>
            </w:pPr>
            <w:r>
              <w:t>8 773 рубля за 1 тонну</w:t>
            </w:r>
          </w:p>
        </w:tc>
      </w:tr>
    </w:tbl>
    <w:p w:rsidR="00E84919" w:rsidRPr="00775C04" w:rsidRDefault="00E84919" w:rsidP="00775C04"/>
    <w:sectPr w:rsidR="00E84919" w:rsidRPr="00775C04" w:rsidSect="00E8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667E"/>
    <w:rsid w:val="0005667E"/>
    <w:rsid w:val="0033294D"/>
    <w:rsid w:val="00775C04"/>
    <w:rsid w:val="00E8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6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1421</Words>
  <Characters>8104</Characters>
  <Application>Microsoft Office Word</Application>
  <DocSecurity>0</DocSecurity>
  <Lines>67</Lines>
  <Paragraphs>19</Paragraphs>
  <ScaleCrop>false</ScaleCrop>
  <Company/>
  <LinksUpToDate>false</LinksUpToDate>
  <CharactersWithSpaces>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</dc:creator>
  <cp:lastModifiedBy>635</cp:lastModifiedBy>
  <cp:revision>2</cp:revision>
  <dcterms:created xsi:type="dcterms:W3CDTF">2017-10-11T07:51:00Z</dcterms:created>
  <dcterms:modified xsi:type="dcterms:W3CDTF">2017-10-11T07:51:00Z</dcterms:modified>
</cp:coreProperties>
</file>